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429</w:t>
      </w:r>
    </w:p>
    <w:p>
      <w:r>
        <w:t>Bundesgericht (BGE), 2000-12-29, DE</w:t>
      </w:r>
    </w:p>
    <w:p>
      <w:r>
        <w:rPr>
          <w:b/>
        </w:rPr>
        <w:t xml:space="preserve">Quelle: </w:t>
      </w:r>
      <w:r>
        <w:t>https://mcp.opencaselaw.ch/entscheid/bge_126 V 429</w:t>
      </w:r>
    </w:p>
    <w:p>
      <w:r>
        <w:t>FR: ATF 126 V 429</w:t>
      </w:r>
    </w:p>
    <w:p>
      <w:r>
        <w:t>IT: DTF 126 V 429</w:t>
      </w:r>
    </w:p>
    <w:p>
      <w:pPr>
        <w:pStyle w:val="Heading2"/>
      </w:pPr>
      <w:r>
        <w:t>Regeste</w:t>
      </w:r>
    </w:p>
    <w:p>
      <w:r>
        <w:t>Regeste Art. 29sexies Abs. 3 AHVG. Erziehungsgutschriften bei Stiefkindverhältnissen. Obwohl im Falle einer Wiederverheiratung die Kinder aus erster Ehe zum einen Elternteil lediglich in einem Stiefkindverhältnis stehen, ist sowohl für die erste wie auch für die zweite (kinderlose) Ehe eine hälftige Aufteilung der Erziehungsgutschriften vorzunehmen.</w:t>
      </w:r>
    </w:p>
    <w:p>
      <w:pPr>
        <w:pStyle w:val="Heading2"/>
      </w:pPr>
      <w:r>
        <w:t>Erwägungen</w:t>
      </w:r>
    </w:p>
    <w:p>
      <w:r>
        <w:rPr>
          <w:b/>
        </w:rPr>
        <w:t>E. 1</w:t>
      </w:r>
    </w:p>
    <w:p>
      <w:r>
        <w:t>Nach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Die Rente wird nach Massgabe des durchschnittlichen Jahreseinkommens berechnet, welches sich aus den Erwerbseinkommen, den Erziehungsgutschriften und den Betreuungsgutschriften zusammensetzt ( Art. 29quater AHVG ). Gemäss Art. 29sexies Abs. 1 AHVG (in dem bis 31. Dezember 1999 gültig gewesenen und auf den vorliegenden Fall anwendbaren Wortlaut) wird Versicherten für die Jahre, in welchen sie die elterliche Gewalt über eines oder mehrere Kinder ausüben, die das 16. Altersjahr noch nicht erreicht haben, eine Erziehungsgutschrift angerechnet. Dabei werden Ehepaaren jedoch nicht zwei Gutschriften kumulativ gewährt. Der Bundesrat regelt die Einzelheiten, insbesondere die Anrechnung der Erziehungsgutschrift, wenn a) Eltern Kinder unter ihrer Obhut haben, ohne die elterliche Gewalt auszuüben, b) lediglich ein Elternteil in der schweizerischen Alters- und Hinterlassenenversicherung versichert ist und c) die Voraussetzungen für die BGE 126 V 429 S. 431 Anrechnung einer Erziehungsgutschrift nicht während des ganzen Kalenderjahres erfüllt werden ( Art. 52e und 52f AHVV ). Nach Abs. 2 der Gesetzesbestimmung entspricht die Erziehungsgutschrift dem Betrag der dreifachen minimalen jährlichen Altersrente gemäss Art. 34 AHVG im Zeitpunkt der Entstehung des Rentenanspruchs. Abs. 3 bestimmt, dass bei verheirateten Personen die Erziehungsgutschrift während der Kalenderjahre der Ehe hälftig aufgeteilt wird. Der Teilung unterliegen aber nur die Gutschriften für die Zeit zwischen dem 1. Januar nach Vollendung des 20. Altersjahres und dem 31. Dezember vor Eintritt des Versicherungsfalles beim Ehegatten, welcher zuerst rentenberechtigt wird.</w:t>
      </w:r>
    </w:p>
    <w:p>
      <w:r>
        <w:rPr>
          <w:b/>
        </w:rPr>
        <w:t>E. 2</w:t>
      </w:r>
    </w:p>
    <w:p>
      <w:r>
        <w:t>a) Das Gesetz macht den Anspruch auf Anrechnung von Erziehungsgutschriften grundsätzlich davon abhängig, dass der Versicherte über eines oder mehrere Kinder die elterliche Gewalt (nunmehr elterliche Sorge: Ziff. I 4 des Bundesgesetzes über die Änderung des ZGB vom 26. Juni 1998, in Kraft seit 1. Januar 2000; AS 1999 1118, 1144) ausgeübt hat. Eine Ausnahme von der Voraussetzung der elterlichen Gewalt sieht das Gesetz lediglich insofern vor, als der Bundesrat Vorschriften über die Anrechnung von Erziehungsgutschriften u.a. für den Fall erlassen kann, dass Eltern Kinder unter ihrer Obhut haben, ohne die elterliche Gewalt über sie auszuüben ( Art. 29sexies Abs. 1 lit. a AHVG ). Die gestützt hierauf erlassene Bestimmung von Art. 52e AHVV beschränkt sich darauf, einen Anspruch auf Anrechnung von Erziehungsgutschriften auch für Jahre vorzusehen, in denen Eltern Kinder in ihrer Obhut hatten, ohne dass ihnen die elterliche Gewalt zustand. Geregelt wird damit der Fall, dass den Eltern die elterliche Gewalt entzogen wurde ( Art. 311 ff. ZGB ). Nach der Rechtsprechung ist der Begriff der elterlichen Gewalt gemäss Art. 29sexies AHVG im Sinne der Art. 296 ff. ZGB zu verstehen. Nach diesen Bestimmungen haben Pflegeeltern keine elterliche Gewalt, sondern lediglich die Befugnis, die leiblichen Eltern in der elterlichen Gewalt zu vertreten, soweit es zur gehörigen Erfüllung ihrer Aufgaben angezeigt ist ( Art. 300 Abs. 1 ZGB ). Pflegeeltern sind daher - anders als die Adoptiveltern - vom Anspruch auf Anrechnung von Erziehungsgutschriften ausgeschlossen ( BGE 125 V 246 Erw. 2a). Demgegenüber hat das Eidg. Versicherungsgericht in BGE 126 V 1 den Anspruch auf Erziehungsgutschriften im Falle einer Vormundin bejaht, welche einen unmündigen Neffen in persönlicher Obhut hatte. Als massgebend hiefür erachtete das Gericht, dass der Vormund bei Unmündigkeit des BGE 126 V 429 S. 432 Bevormundeten zwar nicht über die elterliche Gewalt verfügt, ihm nach Art. 405 Abs. 2 ZGB unter Vorbehalt der Mitwirkung der vormundschaftlichen Behörden aber grundsätzlich die gleichen Rechte zustehen wie den Eltern und er über Befugnisse verfügt, welche der elterlichen Gewalt nahe kommen ( BGE 126 V 3 Erw. 4a). b) Bei Stiefkindverhältnissen hat jeder Ehegatte dem andern in der Ausübung der elterlichen Gewalt gegenüber dessen Kindern in angemessener Weise beizustehen und ihn zu vertreten, wenn es die Umstände erfordern ( Art. 299 ZGB ). Die elterliche Gewalt steht aber allein dem leiblichen Elternteil zu, weil nur zu diesem ein Kindesverhältnis besteht ( Art. 252 ZGB ). Der Stiefelternteil ist zur stellvertretungsweisen Ausübung der elterlichen Gewalt berechtigt, wenn der Inhaber selbst verhindert ist und sofort gehandelt werden muss. Er hat dabei den mutmasslichen Willen des Inhabers der elterlichen Gewalt zu beachten. Ist der Inhaber der elterlichen Gewalt dauernd an der Ausübung seiner Befugnisse verhindert, so tritt der Stiefelternteil nicht an seine Stelle, sondern ist das Kind zu bevormunden, wobei der Stiefvater oder die Stiefmutter als Vormund bzw. Vormundin bestellt werden kann (CYRIL HEGNAUER, Grundriss des Kindesrechts und des übrigen Verwandtschaftsrechts, 5. Aufl., Bern 1999, S. 181 Rz 25.09 f.). Entsprechend der zivilrechtlichen Ordnung begründet bei Stiefkindverhältnissen lediglich der leibliche Elternteil, nicht dagegen der Stiefelternteil einen Anspruch auf Erziehungsgutschrift. Hieran ändert nichts, dass nach Art. 52e AHVV ein Anspruch auf Anrechnung von Erziehungsgutschriften auch für Jahre besteht, in denen die Eltern Kinder unter ihrer Obhut hatten, ohne dass ihnen die elterliche Gewalt zustand. Mit dieser Bestimmung soll nicht Versicherten ein Anspruch auf Erziehungsgutschrift eingeräumt werden, denen von Gesetzes wegen keine elterliche Gewalt zukommt. Vielmehr geht es um den Anspruch auf Erziehungsgutschriften in Fällen, in welchen den Eltern die elterliche Gewalt entzogen wurde ( BGE 125 V 246 Erw. 2a in fine).</w:t>
      </w:r>
    </w:p>
    <w:p>
      <w:r>
        <w:rPr>
          <w:b/>
        </w:rPr>
        <w:t>E. 3</w:t>
      </w:r>
    </w:p>
    <w:p>
      <w:r>
        <w:t>Streitig und zu prüfen ist, ob die Beschwerdeführerin für die Kalenderjahre der zweiten Ehe Anspruch auf Anrechnung der ganzen Erziehungsgutschrift hat oder ob die Gutschrift nach Art. 29sexies Abs. 3 AHVG unter den Ehegatten hälftig aufzuteilen ist. a) Die Vorinstanz gelangt im angefochtenen Entscheid zum Schluss, die Verwaltung sei auf Grund der massgebenden gesetzlichen Bestimmungen, des aus den Materialien hervorgehenden BGE 126 V 429 S. 433 Willens des Gesetzgebers und der Verwaltungsweisungen gehalten gewesen, der Beschwerdeführerin für die Jahre 1980 bis 1989 lediglich eine halbe Erziehungsgutschrift anzurechnen. Die Ausgleichskasse stützt die streitige Verfügung auf Rz 5327 der vom BSV herausgegebenen Wegleitung über die Renten (RWL), wonach es für die hälftige Aufteilung der Erziehungsgutschrift bei verheirateten Eltern unerheblich ist, ob es sich bei den Kindern, für die eine Erziehungsgutschrift beansprucht wird, um die eigenen oder um Stiefkinder handelt. Die Beschwerdeführerin bestreitet die Gesetzmässigkeit dieser Verwaltungsweisung und macht geltend, eine Aufteilung der Erziehungsgutschrift sei nur möglich, wenn überhaupt ein Anspruch bestehe; insofern stelle Art. 29sexies Abs. 3 AHVG lediglich eine Ausführungsvorschrift zu Abs. 1 dieser Bestimmung dar. Danach bestehe Anspruch auf Erziehungsgutschriften unter der doppelten (rechtlichen und tatsächlichen) Voraussetzung, dass elterliche Gewalt gegeben sei und auch ausgeübt werde. Mit dieser Grundvoraussetzung unvereinbar sei Rz 5327 RWL, soweit eine Aufteilung der Erziehungsgutschriften unabhängig davon vorzunehmen sei, ob es sich um eigene oder um Stiefkinder handle. Weil der Ehemann der Beschwerdeführerin weder rechtlich noch tatsächlich über die elterliche Gewalt gegenüber den vier Kindern der Versicherten aus erster Ehe verfüge und ihm auch die Obhut im Rechtssinne nicht zustehe, habe er keinen Anspruch auf Erziehungsgutschriften. b) Der Beschwerdeführerin ist darin beizupflichten, dass dem zweiten Ehemann für die Kinder aus erster Ehe kein eigener Anspruch auf Erziehungsgutschriften zusteht. Damit ist indessen noch nicht gesagt, dass ihr für die fragliche Zeit eine ganze Erziehungsgutschrift anzurechnen ist. Nach dem Wortlaut des Gesetzes wird bei verheirateten Personen die Erziehungsgutschrift während der Kalenderjahre der Ehe hälftig aufgeteilt ( Art. 29sexies Abs. 3 AHVG ). Eine Einschränkung, wonach dies nur für Kinder aus gemeinsamer Ehe gilt, ergibt sich weder aus dem Wortlaut noch aus der Systematik oder aus Sinn und Zweck des Gesetzes. Wenn die Beschwerdeführerin geltend macht, die Bestimmung von Art. 29sexies Abs. 3 AHVG stelle lediglich eine Ausführungsvorschrift zu Abs. 1 dieser Norm dar und es beurteile sich allein nach Abs. 1 der Bestimmung, ob überhaupt ein Anspruch auf Erziehungsgutschrift bestehe - was die elterliche Gewalt voraussetze, weshalb sie allein, nicht aber ihr zweiter Ehemann Anspruch auf Anrechnung von Erziehungsgutschriften habe -, so trifft dies insoweit zu, als BGE 126 V 429 S. 434 der Anspruch auf Erziehungsgutschrift grundsätzlich die elterliche Gewalt voraussetzt; es folgt daraus jedoch nicht notwendigerweise, dass die Erziehungsgutschrift bei verheirateten Personen, bei denen nur ein Elternteil über die elterliche Gewalt verfügt, ungeteilt dem Inhaber der elterlichen Gewalt zukommt. Bei den parlamentarischen Beratungen zur 10. AHV-Revision hielt der Nationalrat fest, die hälftige Aufteilung der Gutschriften während der Ehe sei auch deshalb unerlässlich, damit nicht Ehepartner, die bereits Kinder aus einer früheren Ehe oder Beziehung haben, gegenüber Ehepaaren mit gemeinsamen Kindern besser gestellt würden. Denn ohne diese Teilungsregel käme es zu einer keinesfalls gewünschten Kumulation der Erziehungsgutschriften, wenn ein Ehepaar Kinder grossziehe, die jeweils nur unter der elterlichen Gewalt des einen Elternteils stehen (Amtl.Bull. 1994 N 1355). Das BSV weist zu Recht darauf hin, dass die Ehe Anknüpfungspunkt für die Teilungsvorschrift bildet, wobei es genügt, wenn ein Elternteil einen Anspruch auf eine zu teilende Gutschrift in die Ehe "einbringt". Wäre der Gesetzgeber nicht von dieser Betrachtungsweise ausgegangen, hätte er sich - analog dem Sachverhalt, wenn nur ein Elternteil versichert ist ( Art. 29sexies Abs. 1 lit. b AHVG ) - dazu geäussert, was gelten soll, wenn nur ein Elternteil die elterliche Gewalt innehat. Auch stellt Art. 29sexies Abs. 3 AHVG nicht eine blosse Ausführungsvorschrift dar; vielmehr kommt der Bestimmung im Rahmen des mit der 10. AHV-Revision auf den 1. Januar 1997 eingeführten geschlechtsneutralen und zivilstandsunabhängigen Rentensystems eine selbstständige materielle Bedeutung zu. Wie die Vorinstanz zu Recht feststellt, bildet die hälftige Aufteilung der Erziehungsgutschrift auch bei Stiefkindverhältnissen das Korrelat zur hälftigen Teilung der Erwerbseinkommen unter den Ehegatten. Von dieser Betrachtungsweise ging auch der Gesetzgeber aus. So führte der Berichterstatter der ständerätlichen Kommission (Kündig) anlässlich der parlamentarischen Beratung von Art. 29quinquies (dem späteren Art. 29sexies) AHVG aus, bei Stiefkindern habe der Ehepartner von Vater oder Mutter des Kindes zwar keinen eigenen Anspruch auf die Gutschrift; er erleide dadurch aber keinen Nachteil, da die Erziehungsgutschrift von Mutter oder Vater während der Ehejahre wie ein Erwerbseinkommen gesplittet werde (Amtl.Bull. 1994 S 550). Für die vom Gesetzgeber beabsichtigte Gleichstellung der Erwerbseinkommen und der Erziehungsgutschriften bei der Teilung sprechen auch die analogen Bestimmungen bezüglich der zu teilenden Einkommen bzw. Gutschriften gemäss Art. 29quinquies Abs. 4 lit. a und Art. 29sexies BGE 126 V 429 S. 435 Abs. 3 Satz 2 AHVG . Ferner gilt die nach Art. 29quinquies Abs. 4 lit. b AHVG für die Teilung der Erwerbseinkommen vorausgesetzte Versicherteneigenschaft auch für die Teilung der Erziehungsgutschriften ( Art. 52f Abs. 4 AHVV ). Der Vorinstanz ist deshalb darin beizupflichten, dass eine Aufteilung der Erziehungsgutschriften nach Art. 29sexies Abs. 3 AHVG für die Kalenderjahre der Ehe auch bei Stiefkindverhältnissen zu erfolgen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